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ind w:left="0" w:firstLine="0"/>
        <w:contextualSpacing w:val="0"/>
        <w:jc w:val="center"/>
      </w:pPr>
      <w:r w:rsidRPr="00000000" w:rsidR="00000000" w:rsidDel="00000000">
        <w:rPr>
          <w:vertAlign w:val="baseline"/>
          <w:rtl w:val="0"/>
        </w:rPr>
        <w:t xml:space="preserve">Worcester Public Schools Scope and Sequence</w:t>
      </w:r>
      <w:r w:rsidRPr="00000000" w:rsidR="00000000" w:rsidDel="00000000">
        <w:rPr>
          <w:rtl w:val="0"/>
        </w:rPr>
      </w:r>
    </w:p>
    <w:p w:rsidP="00000000" w:rsidRPr="00000000" w:rsidR="00000000" w:rsidDel="00000000" w:rsidRDefault="00000000">
      <w:pPr>
        <w:ind w:left="0" w:firstLine="0"/>
        <w:contextualSpacing w:val="0"/>
        <w:jc w:val="center"/>
      </w:pPr>
      <w:r w:rsidRPr="00000000" w:rsidR="00000000" w:rsidDel="00000000">
        <w:rPr>
          <w:i w:val="1"/>
          <w:vertAlign w:val="baseline"/>
          <w:rtl w:val="0"/>
        </w:rPr>
        <w:t xml:space="preserve">Mathematics Grade Pre-K</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vertAlign w:val="baseline"/>
          <w:rtl w:val="0"/>
        </w:rPr>
        <w:t xml:space="preserve">Focus Areas: Counting and Cardinality, Operations and Algebraic thinking, Measurement and Data, Geometry</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tbl>
      <w:tblPr>
        <w:tblStyle w:val="KixTable1"/>
        <w:bidiVisual w:val="0"/>
        <w:tblW w:w="11650.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2907"/>
        <w:gridCol w:w="1453"/>
        <w:gridCol w:w="1415"/>
        <w:gridCol w:w="1515"/>
        <w:gridCol w:w="4124"/>
        <w:gridCol w:w="236"/>
      </w:tblGrid>
      <w:tr>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sz w:val="22"/>
                <w:vertAlign w:val="baseline"/>
                <w:rtl w:val="0"/>
              </w:rPr>
              <w:t xml:space="preserve">Module 1: Counting and Cardinality</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sz w:val="22"/>
                <w:vertAlign w:val="baseline"/>
                <w:rtl w:val="0"/>
              </w:rPr>
              <w:t xml:space="preserve">Module 2: Shapes</w:t>
            </w: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sz w:val="22"/>
                <w:vertAlign w:val="baseline"/>
                <w:rtl w:val="0"/>
              </w:rPr>
              <w:t xml:space="preserve">Module 3: Sorting and Classifying</w:t>
            </w: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sz w:val="22"/>
                <w:vertAlign w:val="baseline"/>
                <w:rtl w:val="0"/>
              </w:rPr>
              <w:t xml:space="preserve">Module 4: Numbers and Numeration</w:t>
            </w: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sz w:val="22"/>
                <w:vertAlign w:val="baseline"/>
                <w:rtl w:val="0"/>
              </w:rPr>
              <w:t xml:space="preserve">Module 5: Beginning Addition/subtraction</w:t>
            </w: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r>
    </w:tbl>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tbl>
      <w:tblPr>
        <w:tblStyle w:val="KixTable2"/>
        <w:bidiVisual w:val="0"/>
        <w:tblW w:w="13176.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1529"/>
        <w:gridCol w:w="1417"/>
        <w:gridCol w:w="1603"/>
        <w:gridCol w:w="1417"/>
        <w:gridCol w:w="1442"/>
        <w:gridCol w:w="1442"/>
        <w:gridCol w:w="1442"/>
        <w:gridCol w:w="1426"/>
        <w:gridCol w:w="1458"/>
      </w:tblGrid>
      <w:tr>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b w:val="1"/>
                <w:vertAlign w:val="baseline"/>
                <w:rtl w:val="0"/>
              </w:rPr>
              <w:t xml:space="preserve">Standards</w:t>
            </w: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jc w:val="center"/>
            </w:pPr>
            <w:r w:rsidRPr="00000000" w:rsidR="00000000" w:rsidDel="00000000">
              <w:rPr>
                <w:b w:val="1"/>
                <w:vertAlign w:val="baseline"/>
                <w:rtl w:val="0"/>
              </w:rPr>
              <w:t xml:space="preserve">Quarter 1</w:t>
            </w: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jc w:val="center"/>
            </w:pPr>
            <w:r w:rsidRPr="00000000" w:rsidR="00000000" w:rsidDel="00000000">
              <w:rPr>
                <w:b w:val="1"/>
                <w:vertAlign w:val="baseline"/>
                <w:rtl w:val="0"/>
              </w:rPr>
              <w:t xml:space="preserve">Quarter 2</w:t>
            </w: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jc w:val="center"/>
            </w:pPr>
            <w:r w:rsidRPr="00000000" w:rsidR="00000000" w:rsidDel="00000000">
              <w:rPr>
                <w:b w:val="1"/>
                <w:vertAlign w:val="baseline"/>
                <w:rtl w:val="0"/>
              </w:rPr>
              <w:t xml:space="preserve">Quarter 3</w:t>
            </w: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jc w:val="center"/>
            </w:pPr>
            <w:r w:rsidRPr="00000000" w:rsidR="00000000" w:rsidDel="00000000">
              <w:rPr>
                <w:b w:val="1"/>
                <w:vertAlign w:val="baseline"/>
                <w:rtl w:val="0"/>
              </w:rPr>
              <w:t xml:space="preserve">Quarter 4</w:t>
            </w:r>
            <w:r w:rsidRPr="00000000" w:rsidR="00000000" w:rsidDel="00000000">
              <w:rPr>
                <w:rtl w:val="0"/>
              </w:rPr>
            </w:r>
          </w:p>
        </w:tc>
        <w:tc>
          <w:tcPr>
            <w:tcMar>
              <w:left w:w="108.0" w:type="dxa"/>
              <w:right w:w="108.0" w:type="dxa"/>
            </w:tcMar>
          </w:tcPr>
          <w:p w:rsidP="00000000" w:rsidRPr="00000000" w:rsidR="00000000" w:rsidDel="00000000" w:rsidRDefault="00000000">
            <w:pPr>
              <w:keepNext w:val="0"/>
              <w:keepLines w:val="0"/>
              <w:widowControl w:val="0"/>
              <w:spacing w:lineRule="auto" w:after="200" w:line="276" w:before="0"/>
              <w:ind w:left="0" w:firstLine="0" w:right="0"/>
              <w:contextualSpacing w:val="0"/>
              <w:jc w:val="left"/>
            </w:pPr>
            <w:r w:rsidRPr="00000000" w:rsidR="00000000" w:rsidDel="00000000">
              <w:rPr>
                <w:rtl w:val="0"/>
              </w:rPr>
            </w:r>
          </w:p>
        </w:tc>
        <w:tc>
          <w:tcPr>
            <w:tcMar>
              <w:left w:w="108.0" w:type="dxa"/>
              <w:right w:w="108.0" w:type="dxa"/>
            </w:tcMar>
          </w:tcPr>
          <w:p w:rsidP="00000000" w:rsidRPr="00000000" w:rsidR="00000000" w:rsidDel="00000000" w:rsidRDefault="00000000">
            <w:pPr>
              <w:keepNext w:val="0"/>
              <w:keepLines w:val="0"/>
              <w:widowControl w:val="0"/>
              <w:spacing w:lineRule="auto" w:after="200" w:line="276" w:before="0"/>
              <w:ind w:left="0" w:firstLine="0" w:right="0"/>
              <w:contextualSpacing w:val="0"/>
              <w:jc w:val="left"/>
            </w:pPr>
            <w:r w:rsidRPr="00000000" w:rsidR="00000000" w:rsidDel="00000000">
              <w:rPr>
                <w:rtl w:val="0"/>
              </w:rPr>
            </w:r>
          </w:p>
        </w:tc>
        <w:tc>
          <w:tcPr>
            <w:tcMar>
              <w:left w:w="108.0" w:type="dxa"/>
              <w:right w:w="108.0" w:type="dxa"/>
            </w:tcMar>
          </w:tcPr>
          <w:p w:rsidP="00000000" w:rsidRPr="00000000" w:rsidR="00000000" w:rsidDel="00000000" w:rsidRDefault="00000000">
            <w:pPr>
              <w:keepNext w:val="0"/>
              <w:keepLines w:val="0"/>
              <w:widowControl w:val="0"/>
              <w:spacing w:lineRule="auto" w:after="200" w:line="276" w:before="0"/>
              <w:ind w:left="0" w:firstLine="0" w:right="0"/>
              <w:contextualSpacing w:val="0"/>
              <w:jc w:val="left"/>
            </w:pPr>
            <w:r w:rsidRPr="00000000" w:rsidR="00000000" w:rsidDel="00000000">
              <w:rPr>
                <w:rtl w:val="0"/>
              </w:rPr>
            </w:r>
          </w:p>
        </w:tc>
        <w:tc>
          <w:tcPr>
            <w:tcMar>
              <w:left w:w="108.0" w:type="dxa"/>
              <w:right w:w="108.0" w:type="dxa"/>
            </w:tcMar>
          </w:tcPr>
          <w:p w:rsidP="00000000" w:rsidRPr="00000000" w:rsidR="00000000" w:rsidDel="00000000" w:rsidRDefault="00000000">
            <w:pPr>
              <w:keepNext w:val="0"/>
              <w:keepLines w:val="0"/>
              <w:widowControl w:val="0"/>
              <w:spacing w:lineRule="auto" w:after="200" w:line="276" w:before="0"/>
              <w:ind w:left="0" w:firstLine="0" w:right="0"/>
              <w:contextualSpacing w:val="0"/>
              <w:jc w:val="left"/>
            </w:pPr>
            <w:r w:rsidRPr="00000000" w:rsidR="00000000" w:rsidDel="00000000">
              <w:rPr>
                <w:rtl w:val="0"/>
              </w:rPr>
            </w:r>
          </w:p>
        </w:tc>
      </w:tr>
      <w:tr>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b w:val="1"/>
                <w:sz w:val="20"/>
                <w:vertAlign w:val="baseline"/>
                <w:rtl w:val="0"/>
              </w:rPr>
              <w:t xml:space="preserve">Priority Standards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0"/>
                <w:vertAlign w:val="baseline"/>
                <w:rtl w:val="0"/>
              </w:rPr>
              <w:t xml:space="preserve">Supporting Standards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b w:val="1"/>
                <w:sz w:val="20"/>
                <w:vertAlign w:val="baseline"/>
                <w:rtl w:val="0"/>
              </w:rPr>
              <w:t xml:space="preserve">Weeks 1-5</w:t>
            </w: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b w:val="1"/>
                <w:sz w:val="20"/>
                <w:vertAlign w:val="baseline"/>
                <w:rtl w:val="0"/>
              </w:rPr>
              <w:t xml:space="preserve">Weeks 6-10</w:t>
            </w: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b w:val="1"/>
                <w:sz w:val="20"/>
                <w:vertAlign w:val="baseline"/>
                <w:rtl w:val="0"/>
              </w:rPr>
              <w:t xml:space="preserve">Weeks 11-15</w:t>
            </w: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b w:val="1"/>
                <w:sz w:val="20"/>
                <w:vertAlign w:val="baseline"/>
                <w:rtl w:val="0"/>
              </w:rPr>
              <w:t xml:space="preserve">Weeks 16-20</w:t>
            </w: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b w:val="1"/>
                <w:sz w:val="20"/>
                <w:vertAlign w:val="baseline"/>
                <w:rtl w:val="0"/>
              </w:rPr>
              <w:t xml:space="preserve">Weeks 21-25</w:t>
            </w: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b w:val="1"/>
                <w:sz w:val="20"/>
                <w:vertAlign w:val="baseline"/>
                <w:rtl w:val="0"/>
              </w:rPr>
              <w:t xml:space="preserve">Weeks 26-30</w:t>
            </w: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b w:val="1"/>
                <w:sz w:val="20"/>
                <w:vertAlign w:val="baseline"/>
                <w:rtl w:val="0"/>
              </w:rPr>
              <w:t xml:space="preserve">Weeks 31-32</w:t>
            </w: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b w:val="1"/>
                <w:sz w:val="20"/>
                <w:vertAlign w:val="baseline"/>
                <w:rtl w:val="0"/>
              </w:rPr>
              <w:t xml:space="preserve">Weeks 33-40</w:t>
            </w:r>
            <w:r w:rsidRPr="00000000" w:rsidR="00000000" w:rsidDel="00000000">
              <w:rPr>
                <w:rtl w:val="0"/>
              </w:rPr>
            </w:r>
          </w:p>
        </w:tc>
      </w:tr>
      <w:tr>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b w:val="1"/>
                <w:sz w:val="20"/>
                <w:vertAlign w:val="baseline"/>
                <w:rtl w:val="0"/>
              </w:rPr>
              <w:t xml:space="preserve">PK.CC.MA.1</w:t>
            </w: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b w:val="1"/>
                <w:sz w:val="20"/>
                <w:vertAlign w:val="baseline"/>
                <w:rtl w:val="0"/>
              </w:rPr>
              <w:t xml:space="preserve">PK.CC.MA.4</w:t>
            </w: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b w:val="1"/>
                <w:sz w:val="20"/>
                <w:vertAlign w:val="baseline"/>
                <w:rtl w:val="0"/>
              </w:rPr>
              <w:t xml:space="preserve">PK.G.MA.2</w:t>
            </w: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b w:val="1"/>
                <w:sz w:val="20"/>
                <w:vertAlign w:val="baseline"/>
                <w:rtl w:val="0"/>
              </w:rPr>
              <w:t xml:space="preserve">PK.MD.MA.3</w:t>
            </w: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b w:val="1"/>
                <w:sz w:val="20"/>
                <w:vertAlign w:val="baseline"/>
                <w:rtl w:val="0"/>
              </w:rPr>
              <w:t xml:space="preserve">PK.CC.MA.2</w:t>
            </w: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b w:val="1"/>
                <w:sz w:val="20"/>
                <w:vertAlign w:val="baseline"/>
                <w:rtl w:val="0"/>
              </w:rPr>
              <w:t xml:space="preserve">PK.OA.MA.1 (addition) </w:t>
            </w: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b w:val="1"/>
                <w:sz w:val="20"/>
                <w:vertAlign w:val="baseline"/>
                <w:rtl w:val="0"/>
              </w:rPr>
              <w:t xml:space="preserve">PK.OA.MA.1 (addition) </w:t>
            </w: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b w:val="1"/>
                <w:sz w:val="20"/>
                <w:vertAlign w:val="baseline"/>
                <w:rtl w:val="0"/>
              </w:rPr>
              <w:t xml:space="preserve">PK.OA.MA.1</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b w:val="1"/>
                <w:sz w:val="20"/>
                <w:vertAlign w:val="baseline"/>
                <w:rtl w:val="0"/>
              </w:rPr>
              <w:t xml:space="preserve">(subtraction)</w:t>
            </w:r>
            <w:r w:rsidRPr="00000000" w:rsidR="00000000" w:rsidDel="00000000">
              <w:rPr>
                <w:rtl w:val="0"/>
              </w:rPr>
            </w:r>
          </w:p>
        </w:tc>
      </w:tr>
      <w:tr>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sz w:val="20"/>
                <w:vertAlign w:val="baseline"/>
                <w:rtl w:val="0"/>
              </w:rPr>
              <w:t xml:space="preserve">PK.G.MA.1</w:t>
            </w: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sz w:val="20"/>
                <w:vertAlign w:val="baseline"/>
                <w:rtl w:val="0"/>
              </w:rPr>
              <w:t xml:space="preserve">PK.MD.MA.1</w:t>
            </w: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b w:val="1"/>
                <w:sz w:val="20"/>
                <w:vertAlign w:val="baseline"/>
                <w:rtl w:val="0"/>
              </w:rPr>
              <w:t xml:space="preserve">PK.CC.MA.3</w:t>
            </w: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sz w:val="20"/>
                <w:vertAlign w:val="baseline"/>
                <w:rtl w:val="0"/>
              </w:rPr>
              <w:t xml:space="preserve">PK.CC.MA.5</w:t>
            </w: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sz w:val="20"/>
                <w:vertAlign w:val="baseline"/>
                <w:rtl w:val="0"/>
              </w:rPr>
              <w:t xml:space="preserve">PK.CC.MA.5</w:t>
            </w: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sz w:val="20"/>
                <w:vertAlign w:val="baseline"/>
                <w:rtl w:val="0"/>
              </w:rPr>
              <w:t xml:space="preserve">PK.CC.MA.5</w:t>
            </w:r>
            <w:r w:rsidRPr="00000000" w:rsidR="00000000" w:rsidDel="00000000">
              <w:rPr>
                <w:rtl w:val="0"/>
              </w:rPr>
            </w:r>
          </w:p>
        </w:tc>
      </w:tr>
      <w:tr>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sz w:val="20"/>
                <w:vertAlign w:val="baseline"/>
                <w:rtl w:val="0"/>
              </w:rPr>
              <w:t xml:space="preserve">PK.G.MA.3</w:t>
            </w: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sz w:val="20"/>
                <w:vertAlign w:val="baseline"/>
                <w:rtl w:val="0"/>
              </w:rPr>
              <w:t xml:space="preserve">PK.MD.MA.2</w:t>
            </w: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sz w:val="20"/>
                <w:vertAlign w:val="baseline"/>
                <w:rtl w:val="0"/>
              </w:rPr>
              <w:t xml:space="preserve">PK.MD.MA.4</w:t>
            </w: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r>
      <w:tr>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r>
      <w:tr>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r>
      <w:tr>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r>
      <w:tr>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r>
      <w:tr>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r>
      <w:tr>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r>
      <w:tr>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r>
      <w:tr>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r>
      <w:tr>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r>
      <w:tr>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ind w:left="0" w:firstLine="0"/>
              <w:contextualSpacing w:val="0"/>
            </w:pPr>
            <w:r w:rsidRPr="00000000" w:rsidR="00000000" w:rsidDel="00000000">
              <w:rPr>
                <w:rtl w:val="0"/>
              </w:rPr>
            </w:r>
          </w:p>
        </w:tc>
      </w:tr>
    </w:tbl>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Fonts w:cs="Quattrocento" w:hAnsi="Quattrocento" w:eastAsia="Quattrocento" w:ascii="Quattrocento"/>
          <w:sz w:val="20"/>
          <w:vertAlign w:val="baseline"/>
          <w:rtl w:val="0"/>
        </w:rPr>
        <w:t xml:space="preserve">Sample pacing is provided to give guidelines as to how long a particular module may take to complete.  The reality of how long a module will take will depend vastly upon the teacher facilitating the unit and the students who gain their learning experiences from it.  It is understood that some modules will take longer than the specified time, and others will take less.  Teachers are encouraged to adjust their planning according to the needs of the students in their classroom.</w:t>
      </w:r>
      <w:r w:rsidRPr="00000000" w:rsidR="00000000" w:rsidDel="00000000">
        <w:rPr>
          <w:rtl w:val="0"/>
        </w:rPr>
      </w:r>
    </w:p>
    <w:sectPr>
      <w:pgSz w:w="15840" w:h="12240"/>
      <w:pgMar w:left="1440" w:right="1440" w:top="1170" w:bottom="99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Quattrocento"/>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ocDefaults>
    <w:rPrDefault>
      <w:rPr>
        <w:rFonts w:cs="Times New Roman" w:hAnsi="Times New Roman" w:eastAsia="Times New Roman" w:ascii="Times New Roman"/>
        <w:b w:val="0"/>
        <w:i w:val="0"/>
        <w:smallCaps w:val="0"/>
        <w:strike w:val="0"/>
        <w:color w:val="000000"/>
        <w:sz w:val="24"/>
        <w:u w:val="none"/>
        <w:vertAlign w:val="baseline"/>
      </w:rPr>
    </w:rPrDefault>
    <w:pPrDefault>
      <w:pPr>
        <w:keepNext w:val="0"/>
        <w:keepLines w:val="0"/>
        <w:widowControl w:val="0"/>
        <w:spacing w:lineRule="auto" w:after="0" w:line="240"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120" w:before="480"/>
      <w:contextualSpacing w:val="1"/>
    </w:pPr>
    <w:rPr>
      <w:b w:val="1"/>
      <w:sz w:val="48"/>
    </w:rPr>
  </w:style>
  <w:style w:styleId="Heading2" w:type="paragraph">
    <w:name w:val="heading 2"/>
    <w:basedOn w:val="Normal"/>
    <w:next w:val="Normal"/>
    <w:pPr>
      <w:keepNext w:val="1"/>
      <w:keepLines w:val="1"/>
      <w:spacing w:lineRule="auto" w:after="80" w:before="360"/>
      <w:contextualSpacing w:val="1"/>
    </w:pPr>
    <w:rPr>
      <w:b w:val="1"/>
      <w:sz w:val="36"/>
    </w:rPr>
  </w:style>
  <w:style w:styleId="Heading3" w:type="paragraph">
    <w:name w:val="heading 3"/>
    <w:basedOn w:val="Normal"/>
    <w:next w:val="Normal"/>
    <w:pPr>
      <w:keepNext w:val="1"/>
      <w:keepLines w:val="1"/>
      <w:spacing w:lineRule="auto" w:after="80" w:before="280"/>
      <w:contextualSpacing w:val="1"/>
    </w:pPr>
    <w:rPr>
      <w:b w:val="1"/>
      <w:sz w:val="28"/>
    </w:rPr>
  </w:style>
  <w:style w:styleId="Heading4" w:type="paragraph">
    <w:name w:val="heading 4"/>
    <w:basedOn w:val="Normal"/>
    <w:next w:val="Normal"/>
    <w:pPr>
      <w:keepNext w:val="1"/>
      <w:keepLines w:val="1"/>
      <w:spacing w:lineRule="auto" w:after="40" w:before="240"/>
      <w:contextualSpacing w:val="1"/>
    </w:pPr>
    <w:rPr>
      <w:b w:val="1"/>
      <w:sz w:val="24"/>
    </w:rPr>
  </w:style>
  <w:style w:styleId="Heading5" w:type="paragraph">
    <w:name w:val="heading 5"/>
    <w:basedOn w:val="Normal"/>
    <w:next w:val="Normal"/>
    <w:pPr>
      <w:keepNext w:val="1"/>
      <w:keepLines w:val="1"/>
      <w:spacing w:lineRule="auto" w:after="40" w:before="220"/>
      <w:contextualSpacing w:val="1"/>
    </w:pPr>
    <w:rPr>
      <w:b w:val="1"/>
      <w:sz w:val="22"/>
    </w:rPr>
  </w:style>
  <w:style w:styleId="Heading6" w:type="paragraph">
    <w:name w:val="heading 6"/>
    <w:basedOn w:val="Normal"/>
    <w:next w:val="Normal"/>
    <w:pPr>
      <w:keepNext w:val="1"/>
      <w:keepLines w:val="1"/>
      <w:spacing w:lineRule="auto" w:after="40" w:before="200"/>
      <w:contextualSpacing w:val="1"/>
    </w:pPr>
    <w:rPr>
      <w:b w:val="1"/>
      <w:sz w:val="20"/>
    </w:rPr>
  </w:style>
  <w:style w:styleId="Title" w:type="paragraph">
    <w:name w:val="Title"/>
    <w:basedOn w:val="Normal"/>
    <w:next w:val="Normal"/>
    <w:pPr>
      <w:keepNext w:val="1"/>
      <w:keepLines w:val="1"/>
      <w:spacing w:lineRule="auto" w:after="120" w:before="480"/>
      <w:contextualSpacing w:val="1"/>
    </w:pPr>
    <w:rPr>
      <w:b w:val="1"/>
      <w:sz w:val="72"/>
    </w:rPr>
  </w:style>
  <w:style w:styleId="Subtitle" w:type="paragraph">
    <w:name w:val="Subtitle"/>
    <w:basedOn w:val="Normal"/>
    <w:next w:val="Normal"/>
    <w:pPr>
      <w:keepNext w:val="1"/>
      <w:keepLines w:val="1"/>
      <w:spacing w:lineRule="auto" w:after="80" w:before="360"/>
      <w:contextualSpacing w:val="1"/>
    </w:pPr>
    <w:rPr>
      <w:rFonts w:cs="Georgia" w:hAnsi="Georgia" w:eastAsia="Georgia" w:ascii="Georgia"/>
      <w:i w:val="1"/>
      <w:color w:val="666666"/>
      <w:sz w:val="48"/>
    </w:rPr>
  </w:style>
  <w:style w:styleId="KixTable1"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KixTable2"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Pre-K Scope and Sequence.docx</dc:title>
</cp:coreProperties>
</file>